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A4B" w:rsidRPr="00C133DF" w:rsidRDefault="002D1A4B" w:rsidP="00C133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3DF">
        <w:rPr>
          <w:rFonts w:ascii="Times New Roman" w:hAnsi="Times New Roman" w:cs="Times New Roman"/>
          <w:b/>
          <w:bCs/>
          <w:sz w:val="28"/>
          <w:szCs w:val="28"/>
        </w:rPr>
        <w:t>ХИРУРГИЧЕСКОЕ ЛЕЧЕНИЕ БОЛЬНЫХ С НЕВРАЛГИЕЙ</w:t>
      </w:r>
    </w:p>
    <w:p w:rsidR="002D1A4B" w:rsidRDefault="002D1A4B" w:rsidP="00C133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3DF">
        <w:rPr>
          <w:rFonts w:ascii="Times New Roman" w:hAnsi="Times New Roman" w:cs="Times New Roman"/>
          <w:b/>
          <w:bCs/>
          <w:sz w:val="28"/>
          <w:szCs w:val="28"/>
        </w:rPr>
        <w:t>ЧЕРЕПНЫХ НЕРВОВ</w:t>
      </w:r>
    </w:p>
    <w:p w:rsidR="00C133DF" w:rsidRPr="00C133DF" w:rsidRDefault="00C133DF" w:rsidP="00C133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D67" w:rsidRDefault="002D1A4B" w:rsidP="00FF0D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/>
          <w:sz w:val="26"/>
          <w:szCs w:val="26"/>
        </w:rPr>
      </w:pPr>
      <w:r w:rsidRPr="00C133DF">
        <w:rPr>
          <w:rFonts w:ascii="Times New Roman" w:hAnsi="Times New Roman" w:cs="Times New Roman"/>
          <w:bCs/>
          <w:i/>
          <w:sz w:val="26"/>
          <w:szCs w:val="26"/>
        </w:rPr>
        <w:t>Лещинский А.В.</w:t>
      </w:r>
      <w:r w:rsidR="00C133DF" w:rsidRPr="00C133DF">
        <w:rPr>
          <w:rFonts w:ascii="Times New Roman" w:hAnsi="Times New Roman" w:cs="Times New Roman"/>
          <w:bCs/>
          <w:i/>
          <w:sz w:val="26"/>
          <w:szCs w:val="26"/>
        </w:rPr>
        <w:t>, Краснов Д.</w:t>
      </w:r>
      <w:r w:rsidRPr="00C133DF">
        <w:rPr>
          <w:rFonts w:ascii="Times New Roman" w:hAnsi="Times New Roman" w:cs="Times New Roman"/>
          <w:bCs/>
          <w:i/>
          <w:sz w:val="26"/>
          <w:szCs w:val="26"/>
        </w:rPr>
        <w:t>Б., Горенштейн А. Е.</w:t>
      </w:r>
      <w:r w:rsidR="00C133DF" w:rsidRPr="00C133DF">
        <w:rPr>
          <w:rFonts w:ascii="Times New Roman" w:hAnsi="Times New Roman" w:cs="Times New Roman"/>
          <w:bCs/>
          <w:i/>
          <w:sz w:val="26"/>
          <w:szCs w:val="26"/>
        </w:rPr>
        <w:t xml:space="preserve">, </w:t>
      </w:r>
      <w:proofErr w:type="spellStart"/>
      <w:r w:rsidR="00C133DF" w:rsidRPr="00C133DF">
        <w:rPr>
          <w:rFonts w:ascii="Times New Roman" w:hAnsi="Times New Roman" w:cs="Times New Roman"/>
          <w:bCs/>
          <w:i/>
          <w:sz w:val="26"/>
          <w:szCs w:val="26"/>
        </w:rPr>
        <w:t>Гокинаев</w:t>
      </w:r>
      <w:proofErr w:type="spellEnd"/>
      <w:r w:rsidR="00C133DF" w:rsidRPr="00C133DF">
        <w:rPr>
          <w:rFonts w:ascii="Times New Roman" w:hAnsi="Times New Roman" w:cs="Times New Roman"/>
          <w:bCs/>
          <w:i/>
          <w:sz w:val="26"/>
          <w:szCs w:val="26"/>
        </w:rPr>
        <w:t xml:space="preserve"> С.</w:t>
      </w:r>
      <w:r w:rsidRPr="00C133DF">
        <w:rPr>
          <w:rFonts w:ascii="Times New Roman" w:hAnsi="Times New Roman" w:cs="Times New Roman"/>
          <w:bCs/>
          <w:i/>
          <w:sz w:val="26"/>
          <w:szCs w:val="26"/>
        </w:rPr>
        <w:t>Г.,</w:t>
      </w:r>
      <w:r w:rsidR="00C133DF" w:rsidRPr="00C133D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="00C133DF" w:rsidRPr="00C133DF">
        <w:rPr>
          <w:rFonts w:ascii="Times New Roman" w:hAnsi="Times New Roman" w:cs="Times New Roman"/>
          <w:bCs/>
          <w:i/>
          <w:sz w:val="26"/>
          <w:szCs w:val="26"/>
        </w:rPr>
        <w:t>Ларютин</w:t>
      </w:r>
      <w:proofErr w:type="spellEnd"/>
      <w:r w:rsidR="00C133DF">
        <w:rPr>
          <w:rFonts w:ascii="Times New Roman" w:hAnsi="Times New Roman" w:cs="Times New Roman"/>
          <w:bCs/>
          <w:i/>
          <w:sz w:val="26"/>
          <w:szCs w:val="26"/>
        </w:rPr>
        <w:t> </w:t>
      </w:r>
      <w:r w:rsidR="00C133DF" w:rsidRPr="00C133DF">
        <w:rPr>
          <w:rFonts w:ascii="Times New Roman" w:hAnsi="Times New Roman" w:cs="Times New Roman"/>
          <w:bCs/>
          <w:i/>
          <w:sz w:val="26"/>
          <w:szCs w:val="26"/>
        </w:rPr>
        <w:t>Н.В., Фомин Б.Б.</w:t>
      </w:r>
    </w:p>
    <w:p w:rsidR="002D1A4B" w:rsidRPr="00FF0D67" w:rsidRDefault="002D1A4B" w:rsidP="00FF0D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i/>
          <w:sz w:val="26"/>
          <w:szCs w:val="26"/>
        </w:rPr>
      </w:pPr>
      <w:r w:rsidRPr="00C133DF">
        <w:rPr>
          <w:rFonts w:ascii="Times New Roman" w:eastAsia="HeliosCond" w:hAnsi="Times New Roman" w:cs="Times New Roman"/>
          <w:i/>
          <w:sz w:val="26"/>
          <w:szCs w:val="26"/>
        </w:rPr>
        <w:t xml:space="preserve">ГБУЗ </w:t>
      </w:r>
      <w:r w:rsidR="00C133DF" w:rsidRPr="00C133DF">
        <w:rPr>
          <w:rFonts w:ascii="Times New Roman" w:eastAsia="HeliosCond" w:hAnsi="Times New Roman" w:cs="Times New Roman"/>
          <w:i/>
          <w:sz w:val="26"/>
          <w:szCs w:val="26"/>
        </w:rPr>
        <w:t>«</w:t>
      </w:r>
      <w:r w:rsidRPr="00C133DF">
        <w:rPr>
          <w:rFonts w:ascii="Times New Roman" w:eastAsia="HeliosCond" w:hAnsi="Times New Roman" w:cs="Times New Roman"/>
          <w:i/>
          <w:sz w:val="26"/>
          <w:szCs w:val="26"/>
        </w:rPr>
        <w:t>Областная клиническая больница Калининградской области</w:t>
      </w:r>
      <w:r w:rsidR="00C133DF" w:rsidRPr="00C133DF">
        <w:rPr>
          <w:rFonts w:ascii="Times New Roman" w:eastAsia="HeliosCond" w:hAnsi="Times New Roman" w:cs="Times New Roman"/>
          <w:i/>
          <w:sz w:val="26"/>
          <w:szCs w:val="26"/>
        </w:rPr>
        <w:t>»</w:t>
      </w:r>
      <w:r w:rsidRPr="00C133DF">
        <w:rPr>
          <w:rFonts w:ascii="Times New Roman" w:eastAsia="HeliosCond" w:hAnsi="Times New Roman" w:cs="Times New Roman"/>
          <w:i/>
          <w:sz w:val="26"/>
          <w:szCs w:val="26"/>
        </w:rPr>
        <w:t>,</w:t>
      </w:r>
      <w:r w:rsidR="00FF0D67" w:rsidRPr="00FF0D67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FF0D67">
        <w:rPr>
          <w:rFonts w:ascii="Times New Roman" w:eastAsia="HeliosCond" w:hAnsi="Times New Roman" w:cs="Times New Roman"/>
          <w:i/>
          <w:sz w:val="26"/>
          <w:szCs w:val="26"/>
        </w:rPr>
        <w:t>г. </w:t>
      </w:r>
      <w:bookmarkStart w:id="0" w:name="_GoBack"/>
      <w:bookmarkEnd w:id="0"/>
      <w:r w:rsidR="00C133DF" w:rsidRPr="00C133DF">
        <w:rPr>
          <w:rFonts w:ascii="Times New Roman" w:eastAsia="HeliosCond" w:hAnsi="Times New Roman" w:cs="Times New Roman"/>
          <w:i/>
          <w:sz w:val="26"/>
          <w:szCs w:val="26"/>
        </w:rPr>
        <w:t xml:space="preserve">Калининград, </w:t>
      </w:r>
      <w:r w:rsidRPr="00C133DF">
        <w:rPr>
          <w:rFonts w:ascii="Times New Roman" w:eastAsia="HeliosCond" w:hAnsi="Times New Roman" w:cs="Times New Roman"/>
          <w:i/>
          <w:sz w:val="26"/>
          <w:szCs w:val="26"/>
        </w:rPr>
        <w:t xml:space="preserve">МАУ </w:t>
      </w:r>
      <w:r w:rsidR="00C133DF" w:rsidRPr="00C133DF">
        <w:rPr>
          <w:rFonts w:ascii="Times New Roman" w:eastAsia="HeliosCond" w:hAnsi="Times New Roman" w:cs="Times New Roman"/>
          <w:i/>
          <w:sz w:val="26"/>
          <w:szCs w:val="26"/>
        </w:rPr>
        <w:t>«</w:t>
      </w:r>
      <w:r w:rsidRPr="00C133DF">
        <w:rPr>
          <w:rFonts w:ascii="Times New Roman" w:eastAsia="HeliosCond" w:hAnsi="Times New Roman" w:cs="Times New Roman"/>
          <w:i/>
          <w:sz w:val="26"/>
          <w:szCs w:val="26"/>
        </w:rPr>
        <w:t>ГКБ № 40</w:t>
      </w:r>
      <w:r w:rsidR="00C133DF" w:rsidRPr="00C133DF">
        <w:rPr>
          <w:rFonts w:ascii="Times New Roman" w:eastAsia="HeliosCond" w:hAnsi="Times New Roman" w:cs="Times New Roman"/>
          <w:i/>
          <w:sz w:val="26"/>
          <w:szCs w:val="26"/>
        </w:rPr>
        <w:t>»,</w:t>
      </w:r>
      <w:r w:rsidRPr="00C133DF">
        <w:rPr>
          <w:rFonts w:ascii="Times New Roman" w:eastAsia="HeliosCond" w:hAnsi="Times New Roman" w:cs="Times New Roman"/>
          <w:i/>
          <w:sz w:val="26"/>
          <w:szCs w:val="26"/>
        </w:rPr>
        <w:t xml:space="preserve"> г. Екатеринбург</w:t>
      </w:r>
    </w:p>
    <w:p w:rsidR="00C133DF" w:rsidRPr="00C133DF" w:rsidRDefault="00C133DF" w:rsidP="0014135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6"/>
          <w:szCs w:val="26"/>
        </w:rPr>
      </w:pPr>
    </w:p>
    <w:p w:rsidR="00C133DF" w:rsidRDefault="002D1A4B" w:rsidP="00C1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C133DF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Определить возможно</w:t>
      </w:r>
      <w:r w:rsidR="00C133DF">
        <w:rPr>
          <w:rFonts w:ascii="Times New Roman" w:eastAsia="HeliosCond" w:hAnsi="Times New Roman" w:cs="Times New Roman"/>
          <w:sz w:val="28"/>
          <w:szCs w:val="28"/>
        </w:rPr>
        <w:t>сть хорошего функционального ре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зультата при микроваскулярной декомпрессии черепных нервов.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</w:p>
    <w:p w:rsidR="002D1A4B" w:rsidRPr="00C133DF" w:rsidRDefault="002D1A4B" w:rsidP="00C1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C133DF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методы.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Невралгии черепных нервов (V, VII, IX)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представляют собой схожую по этиологии группу заболеваний. Чаще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всего болеют люди среднего и пожилого возраста. Наиболее часто в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нейрохирургическую клинику пост</w:t>
      </w:r>
      <w:r w:rsidR="00C133DF">
        <w:rPr>
          <w:rFonts w:ascii="Times New Roman" w:eastAsia="HeliosCond" w:hAnsi="Times New Roman" w:cs="Times New Roman"/>
          <w:sz w:val="28"/>
          <w:szCs w:val="28"/>
        </w:rPr>
        <w:t>упают пациенты с невралгией трой</w:t>
      </w:r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ничного нерва. Несколько реже пациенты с диагнозом гемифациальный спазм и невралгией языкоглоточного нерва. Включены 41 пациент, оперированные в </w:t>
      </w:r>
      <w:r w:rsidR="00C133DF" w:rsidRPr="00C133DF">
        <w:rPr>
          <w:rFonts w:ascii="Times New Roman" w:eastAsia="HeliosCond" w:hAnsi="Times New Roman" w:cs="Times New Roman"/>
          <w:sz w:val="28"/>
          <w:szCs w:val="28"/>
        </w:rPr>
        <w:t>ГБУЗ «Областная клиническая больница Калининградской области»</w:t>
      </w:r>
      <w:r w:rsidR="00C133DF">
        <w:rPr>
          <w:rFonts w:ascii="Times New Roman" w:eastAsia="HeliosCond" w:hAnsi="Times New Roman" w:cs="Times New Roman"/>
          <w:sz w:val="28"/>
          <w:szCs w:val="28"/>
        </w:rPr>
        <w:t>,</w:t>
      </w:r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г. Калининград и МАУ </w:t>
      </w:r>
      <w:r w:rsidR="00C133DF">
        <w:rPr>
          <w:rFonts w:ascii="Times New Roman" w:eastAsia="HeliosCond" w:hAnsi="Times New Roman" w:cs="Times New Roman"/>
          <w:sz w:val="28"/>
          <w:szCs w:val="28"/>
        </w:rPr>
        <w:t>«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ГКБ №40</w:t>
      </w:r>
      <w:r w:rsidR="00C133DF">
        <w:rPr>
          <w:rFonts w:ascii="Times New Roman" w:eastAsia="HeliosCond" w:hAnsi="Times New Roman" w:cs="Times New Roman"/>
          <w:sz w:val="28"/>
          <w:szCs w:val="28"/>
        </w:rPr>
        <w:t>»,</w:t>
      </w:r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г. Екатеринбург с диагнозом: идиопатические невралгии черепных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нервов. Средний возраст пациентов был 59 лет (преобладали пациенты среднего и пожилого возраста, женщины над мужчинами: как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2/1). Наибольшее количество пациентов было с диагнозом: невралгия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тройничного нерва – 26, в меньшем количестве случаев – пациенты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с лицевым 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гемифациальным</w:t>
      </w:r>
      <w:proofErr w:type="spellEnd"/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спазмом – 14, с невралгией 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языкогло</w:t>
      </w:r>
      <w:proofErr w:type="spellEnd"/>
      <w:r w:rsidRPr="00C133DF">
        <w:rPr>
          <w:rFonts w:ascii="Times New Roman" w:eastAsia="HeliosCond" w:hAnsi="Times New Roman" w:cs="Times New Roman"/>
          <w:sz w:val="28"/>
          <w:szCs w:val="28"/>
        </w:rPr>
        <w:t>-</w:t>
      </w:r>
    </w:p>
    <w:p w:rsidR="002D1A4B" w:rsidRPr="00C133DF" w:rsidRDefault="002D1A4B" w:rsidP="00C13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C133DF">
        <w:rPr>
          <w:rFonts w:ascii="Times New Roman" w:eastAsia="HeliosCond" w:hAnsi="Times New Roman" w:cs="Times New Roman"/>
          <w:sz w:val="28"/>
          <w:szCs w:val="28"/>
        </w:rPr>
        <w:t>точного нерва – 1 пациент. Учитывая то, что чаще всего пациенты,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поступающие в стационар, были людьми среднего и пожилого возраста, требовалось тщательное предоперационное обследование для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исключения соматической патологии, препятствующей хирургическому лечению. Пациенты, кандидаты на хирургическое лечение (МВД),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должны были иметь типичную клиническую картину заболевания. Всем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пациентам в качестве предоперационного обследования выполняется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обзорная магнитно-резонансная томография (МРТ) головного мозга с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силой магнитного поля 1,5 Тс с дополнительным проведением МРТ в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режиме FIESTA или DRIVE. в зоне </w:t>
      </w:r>
      <w:proofErr w:type="gramStart"/>
      <w:r w:rsidRPr="00C133DF">
        <w:rPr>
          <w:rFonts w:ascii="Times New Roman" w:eastAsia="HeliosCond" w:hAnsi="Times New Roman" w:cs="Times New Roman"/>
          <w:sz w:val="28"/>
          <w:szCs w:val="28"/>
        </w:rPr>
        <w:t>мосто-мозжечкового</w:t>
      </w:r>
      <w:proofErr w:type="gramEnd"/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угла. При этом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отсутствие МР – картины нейроваскулярного конфликта не является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противопоказанием к оперативному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лечению. Диагноз – типичная не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вралгия черепных нервов (V, VII, IX), нуждается только в клиническом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подтверждении. Применялась стандартная методика хирургического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лечения – микроваскулярная д</w:t>
      </w:r>
      <w:r w:rsidR="00C133DF">
        <w:rPr>
          <w:rFonts w:ascii="Times New Roman" w:eastAsia="HeliosCond" w:hAnsi="Times New Roman" w:cs="Times New Roman"/>
          <w:sz w:val="28"/>
          <w:szCs w:val="28"/>
        </w:rPr>
        <w:t>екомпрессия соответствующего ко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решка тройничного, лицевого, языкоглоточного нервов (операция по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методу 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Джанетты</w:t>
      </w:r>
      <w:proofErr w:type="spellEnd"/>
      <w:r w:rsidRPr="00C133DF">
        <w:rPr>
          <w:rFonts w:ascii="Times New Roman" w:eastAsia="HeliosCond" w:hAnsi="Times New Roman" w:cs="Times New Roman"/>
          <w:sz w:val="28"/>
          <w:szCs w:val="28"/>
        </w:rPr>
        <w:t>). Производилась костно-пластическая трепанация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ЗЧЯ из 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key-hole</w:t>
      </w:r>
      <w:proofErr w:type="spellEnd"/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ретросигмовидного</w:t>
      </w:r>
      <w:proofErr w:type="spellEnd"/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доступа (</w:t>
      </w:r>
      <w:r w:rsidR="00C133DF">
        <w:rPr>
          <w:rFonts w:ascii="Times New Roman" w:eastAsia="HeliosCond" w:hAnsi="Times New Roman" w:cs="Times New Roman"/>
          <w:sz w:val="28"/>
          <w:szCs w:val="28"/>
        </w:rPr>
        <w:t>«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костное окно</w:t>
      </w:r>
      <w:r w:rsidR="00C133DF">
        <w:rPr>
          <w:rFonts w:ascii="Times New Roman" w:eastAsia="HeliosCond" w:hAnsi="Times New Roman" w:cs="Times New Roman"/>
          <w:sz w:val="28"/>
          <w:szCs w:val="28"/>
        </w:rPr>
        <w:t>»</w:t>
      </w:r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до 2,5 см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в диаметре с фиксацией костного лоскута 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краниофиксом</w:t>
      </w:r>
      <w:proofErr w:type="spellEnd"/>
      <w:r w:rsidRPr="00C133DF">
        <w:rPr>
          <w:rFonts w:ascii="Times New Roman" w:eastAsia="HeliosCond" w:hAnsi="Times New Roman" w:cs="Times New Roman"/>
          <w:sz w:val="28"/>
          <w:szCs w:val="28"/>
        </w:rPr>
        <w:t>), микроваскулярная декомпрессия корешка тройничного нерва, протекция его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политетрафторэтиленовым материалом с использованием не</w:t>
      </w:r>
      <w:r w:rsidR="00C133DF">
        <w:rPr>
          <w:rFonts w:ascii="Times New Roman" w:eastAsia="HeliosCond" w:hAnsi="Times New Roman" w:cs="Times New Roman"/>
          <w:sz w:val="28"/>
          <w:szCs w:val="28"/>
        </w:rPr>
        <w:t>йрофизи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ологического контроля. Морфологической основой развития болевого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синдрома у пациентов с 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тригеминальной</w:t>
      </w:r>
      <w:proofErr w:type="spellEnd"/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lastRenderedPageBreak/>
        <w:t>невралгией являлась демиелинизация входной зоны чувстви</w:t>
      </w:r>
      <w:r w:rsidR="00C133DF">
        <w:rPr>
          <w:rFonts w:ascii="Times New Roman" w:eastAsia="HeliosCond" w:hAnsi="Times New Roman" w:cs="Times New Roman"/>
          <w:sz w:val="28"/>
          <w:szCs w:val="28"/>
        </w:rPr>
        <w:t>тельного корешка тройничного не</w:t>
      </w:r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рва в ствол головного мозга из-за 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васкулярной</w:t>
      </w:r>
      <w:proofErr w:type="spellEnd"/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компрессии. Во время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данных операций ретракторы не использовались. При хирургическом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лечении использовались операционные микроскопы: 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Carl</w:t>
      </w:r>
      <w:proofErr w:type="spellEnd"/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Zeiss</w:t>
      </w:r>
      <w:proofErr w:type="spellEnd"/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="00C133DF">
        <w:rPr>
          <w:rFonts w:ascii="Times New Roman" w:eastAsia="HeliosCond" w:hAnsi="Times New Roman" w:cs="Times New Roman"/>
          <w:sz w:val="28"/>
          <w:szCs w:val="28"/>
        </w:rPr>
        <w:t>«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OPMI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Neuro</w:t>
      </w:r>
      <w:proofErr w:type="spellEnd"/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200</w:t>
      </w:r>
      <w:r w:rsidR="00C133DF">
        <w:rPr>
          <w:rFonts w:ascii="Times New Roman" w:eastAsia="HeliosCond" w:hAnsi="Times New Roman" w:cs="Times New Roman"/>
          <w:sz w:val="28"/>
          <w:szCs w:val="28"/>
        </w:rPr>
        <w:t>»</w:t>
      </w:r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сопряжённый с системой 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нейронавигации</w:t>
      </w:r>
      <w:proofErr w:type="spellEnd"/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STN и 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Carl</w:t>
      </w:r>
      <w:proofErr w:type="spellEnd"/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Zeiss</w:t>
      </w:r>
      <w:proofErr w:type="spellEnd"/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«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Pentero</w:t>
      </w:r>
      <w:proofErr w:type="spellEnd"/>
      <w:r w:rsidR="00C133DF">
        <w:rPr>
          <w:rFonts w:ascii="Times New Roman" w:eastAsia="HeliosCond" w:hAnsi="Times New Roman" w:cs="Times New Roman"/>
          <w:sz w:val="28"/>
          <w:szCs w:val="28"/>
        </w:rPr>
        <w:t>»</w:t>
      </w:r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сопряжённый с системой 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нейронавигации</w:t>
      </w:r>
      <w:proofErr w:type="spellEnd"/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Stryker</w:t>
      </w:r>
      <w:proofErr w:type="spellEnd"/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Leibinger</w:t>
      </w:r>
      <w:proofErr w:type="spellEnd"/>
      <w:r w:rsidRPr="00C133DF">
        <w:rPr>
          <w:rFonts w:ascii="Times New Roman" w:eastAsia="HeliosCond" w:hAnsi="Times New Roman" w:cs="Times New Roman"/>
          <w:sz w:val="28"/>
          <w:szCs w:val="28"/>
        </w:rPr>
        <w:t>.</w:t>
      </w:r>
    </w:p>
    <w:p w:rsidR="002D1A4B" w:rsidRPr="00C133DF" w:rsidRDefault="002D1A4B" w:rsidP="00C1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C133DF">
        <w:rPr>
          <w:rFonts w:ascii="Times New Roman" w:eastAsia="HeliosCond" w:hAnsi="Times New Roman" w:cs="Times New Roman"/>
          <w:sz w:val="28"/>
          <w:szCs w:val="28"/>
        </w:rPr>
        <w:t>После операции пациенты до следующего утра находились под наблюдением в РАО, а потом переводились в общую палату.</w:t>
      </w:r>
    </w:p>
    <w:p w:rsidR="00C133DF" w:rsidRDefault="002D1A4B" w:rsidP="00C13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b/>
          <w:bCs/>
          <w:sz w:val="28"/>
          <w:szCs w:val="28"/>
        </w:rPr>
      </w:pPr>
      <w:r w:rsidRPr="00C133DF">
        <w:rPr>
          <w:rFonts w:ascii="Times New Roman" w:eastAsia="HeliosCond" w:hAnsi="Times New Roman" w:cs="Times New Roman"/>
          <w:b/>
          <w:bCs/>
          <w:sz w:val="28"/>
          <w:szCs w:val="28"/>
        </w:rPr>
        <w:t>Результаты и обсуждение.</w:t>
      </w:r>
    </w:p>
    <w:p w:rsidR="005876AE" w:rsidRDefault="002D1A4B" w:rsidP="0058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C133DF">
        <w:rPr>
          <w:rFonts w:ascii="Times New Roman" w:eastAsia="HeliosCond" w:hAnsi="Times New Roman" w:cs="Times New Roman"/>
          <w:sz w:val="28"/>
          <w:szCs w:val="28"/>
        </w:rPr>
        <w:t>Причиной невралгии тройничного нерва (26 пациентов) была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компрессия корешка V нерва верхней мозжечковой артерией у 20</w:t>
      </w:r>
      <w:r w:rsidR="00C133D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пациентов, у 3 передней нижней м</w:t>
      </w:r>
      <w:r w:rsidR="00C133DF">
        <w:rPr>
          <w:rFonts w:ascii="Times New Roman" w:eastAsia="HeliosCond" w:hAnsi="Times New Roman" w:cs="Times New Roman"/>
          <w:sz w:val="28"/>
          <w:szCs w:val="28"/>
        </w:rPr>
        <w:t>озжечковой артерией, у 3 пациен</w:t>
      </w:r>
      <w:r w:rsidR="005876AE">
        <w:rPr>
          <w:rFonts w:ascii="Times New Roman" w:eastAsia="HeliosCond" w:hAnsi="Times New Roman" w:cs="Times New Roman"/>
          <w:sz w:val="28"/>
          <w:szCs w:val="28"/>
        </w:rPr>
        <w:t>та компри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мирующем фактором оказалась вена Денди. Интенсивность</w:t>
      </w:r>
      <w:r w:rsidR="005876AE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болевого синдрома по шкале ВАШ от 85 до 100 баллов (в среднем 92).</w:t>
      </w:r>
      <w:r w:rsidR="005876AE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При гемифациальном спазме (14</w:t>
      </w:r>
      <w:r w:rsidR="005876AE">
        <w:rPr>
          <w:rFonts w:ascii="Times New Roman" w:eastAsia="HeliosCond" w:hAnsi="Times New Roman" w:cs="Times New Roman"/>
          <w:sz w:val="28"/>
          <w:szCs w:val="28"/>
        </w:rPr>
        <w:t xml:space="preserve"> пациентов), была компрессия ко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решка VII нерва ПНМА у 11 пациентов, 2 – компрессия задней нижней</w:t>
      </w:r>
      <w:r w:rsidR="005876AE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мозжечковой артерией, у 1 причиной оказалась кохлеарная артерия.</w:t>
      </w:r>
    </w:p>
    <w:p w:rsidR="0014135A" w:rsidRDefault="002D1A4B" w:rsidP="00141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C133DF">
        <w:rPr>
          <w:rFonts w:ascii="Times New Roman" w:eastAsia="HeliosCond" w:hAnsi="Times New Roman" w:cs="Times New Roman"/>
          <w:sz w:val="28"/>
          <w:szCs w:val="28"/>
        </w:rPr>
        <w:t>При языкоглоточной невралгии (1 пациент) фактором компрессии оказалась эктопированная базилярная артерия, на которой были натянуты</w:t>
      </w:r>
      <w:r w:rsidR="005876AE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нервы каудальной группы. Осложнения в послеоперационном периоде:</w:t>
      </w:r>
      <w:r w:rsidR="005876AE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раневая ликворея – 2,8% (1 пациентка с невралгией V нерва), менингит – 2,8% (та же самая пациентка с невралгией V нерва), снижение</w:t>
      </w:r>
      <w:r w:rsidR="005876AE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слуха – 2,8% (1 пациентка с гемиф</w:t>
      </w:r>
      <w:r w:rsidR="005876AE">
        <w:rPr>
          <w:rFonts w:ascii="Times New Roman" w:eastAsia="HeliosCond" w:hAnsi="Times New Roman" w:cs="Times New Roman"/>
          <w:sz w:val="28"/>
          <w:szCs w:val="28"/>
        </w:rPr>
        <w:t>ациальном спазмом, фактором ком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прессии являлась кохлеарная артерия), парез лицевого нерва – 2,8%</w:t>
      </w:r>
      <w:r w:rsidR="005876AE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(та же самая пациентка с гемифациальном спазмом). Летальность:</w:t>
      </w:r>
      <w:r w:rsidR="005876AE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(0%). Ближайшим результатом микроваскулярной декомпрессии у</w:t>
      </w:r>
      <w:r w:rsidR="005876AE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оперированных пациентов явилось уменьшение болевого синдрома с</w:t>
      </w:r>
      <w:r w:rsidR="005876AE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92 до 13 баллов по ВАШ. В катамнезе </w:t>
      </w:r>
      <w:proofErr w:type="gramStart"/>
      <w:r w:rsidRPr="00C133DF">
        <w:rPr>
          <w:rFonts w:ascii="Times New Roman" w:eastAsia="HeliosCond" w:hAnsi="Times New Roman" w:cs="Times New Roman"/>
          <w:sz w:val="28"/>
          <w:szCs w:val="28"/>
        </w:rPr>
        <w:t>( до</w:t>
      </w:r>
      <w:proofErr w:type="gramEnd"/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7 лет) рецидива болезни</w:t>
      </w:r>
      <w:r w:rsidR="005876AE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не было. У пациентки с диагнозо</w:t>
      </w:r>
      <w:r w:rsidR="005876AE">
        <w:rPr>
          <w:rFonts w:ascii="Times New Roman" w:eastAsia="HeliosCond" w:hAnsi="Times New Roman" w:cs="Times New Roman"/>
          <w:sz w:val="28"/>
          <w:szCs w:val="28"/>
        </w:rPr>
        <w:t>м: гемифациальный спазм с ослож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нением в послеоперационном периоде в виде периферического пареза</w:t>
      </w:r>
      <w:r w:rsidR="0014135A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лицевого нерва сохраняется небольшая слабость лицевой мускулатуры</w:t>
      </w:r>
      <w:r w:rsidR="0014135A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(Хаус-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Бракманн</w:t>
      </w:r>
      <w:proofErr w:type="spellEnd"/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2).</w:t>
      </w:r>
    </w:p>
    <w:p w:rsidR="002D1A4B" w:rsidRPr="00C133DF" w:rsidRDefault="002D1A4B" w:rsidP="00141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C133DF">
        <w:rPr>
          <w:rFonts w:ascii="Times New Roman" w:eastAsia="HeliosCond" w:hAnsi="Times New Roman" w:cs="Times New Roman"/>
          <w:b/>
          <w:bCs/>
          <w:sz w:val="28"/>
          <w:szCs w:val="28"/>
        </w:rPr>
        <w:t xml:space="preserve">Выводы.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На основании нашего </w:t>
      </w:r>
      <w:r w:rsidR="0014135A">
        <w:rPr>
          <w:rFonts w:ascii="Times New Roman" w:eastAsia="HeliosCond" w:hAnsi="Times New Roman" w:cs="Times New Roman"/>
          <w:sz w:val="28"/>
          <w:szCs w:val="28"/>
        </w:rPr>
        <w:t>опыта хирургического лечения не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вралгий черепных нервов, МВД – ≪золотой≫ стандарт в лечении этой</w:t>
      </w:r>
      <w:r w:rsidR="0014135A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патологии. МВД при лицевом гемифациальном спазме является </w:t>
      </w:r>
      <w:proofErr w:type="gramStart"/>
      <w:r w:rsidRPr="00C133DF">
        <w:rPr>
          <w:rFonts w:ascii="Times New Roman" w:eastAsia="HeliosCond" w:hAnsi="Times New Roman" w:cs="Times New Roman"/>
          <w:sz w:val="28"/>
          <w:szCs w:val="28"/>
        </w:rPr>
        <w:t>един-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ственным</w:t>
      </w:r>
      <w:proofErr w:type="spellEnd"/>
      <w:proofErr w:type="gramEnd"/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методом реконструктивного хирургического лечения. При</w:t>
      </w:r>
      <w:r w:rsidR="0014135A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хирургическом лечении невралгий черепных нервов методом </w:t>
      </w:r>
      <w:proofErr w:type="gramStart"/>
      <w:r w:rsidRPr="00C133DF">
        <w:rPr>
          <w:rFonts w:ascii="Times New Roman" w:eastAsia="HeliosCond" w:hAnsi="Times New Roman" w:cs="Times New Roman"/>
          <w:sz w:val="28"/>
          <w:szCs w:val="28"/>
        </w:rPr>
        <w:t>микро-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васкулярной</w:t>
      </w:r>
      <w:proofErr w:type="spellEnd"/>
      <w:proofErr w:type="gramEnd"/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декомпрессии эффект</w:t>
      </w:r>
      <w:r w:rsidR="0014135A">
        <w:rPr>
          <w:rFonts w:ascii="Times New Roman" w:eastAsia="HeliosCond" w:hAnsi="Times New Roman" w:cs="Times New Roman"/>
          <w:sz w:val="28"/>
          <w:szCs w:val="28"/>
        </w:rPr>
        <w:t>ивность в раннем послеоперацион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ном периоде составила по нашим данным свыше 90%.</w:t>
      </w:r>
    </w:p>
    <w:p w:rsidR="00903DF1" w:rsidRPr="00AB4775" w:rsidRDefault="002D1A4B" w:rsidP="00AB4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C133DF">
        <w:rPr>
          <w:rFonts w:ascii="Times New Roman" w:eastAsia="HeliosCond" w:hAnsi="Times New Roman" w:cs="Times New Roman"/>
          <w:sz w:val="28"/>
          <w:szCs w:val="28"/>
        </w:rPr>
        <w:t>При невозможности выполнения МВД (соматический статус, не-</w:t>
      </w:r>
      <w:proofErr w:type="spellStart"/>
      <w:r w:rsidR="0014135A">
        <w:rPr>
          <w:rFonts w:ascii="Times New Roman" w:eastAsia="HeliosCond" w:hAnsi="Times New Roman" w:cs="Times New Roman"/>
          <w:sz w:val="28"/>
          <w:szCs w:val="28"/>
        </w:rPr>
        <w:t>к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желание</w:t>
      </w:r>
      <w:proofErr w:type="spellEnd"/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пациента и пр.) применяются деструктивные методы лечения:</w:t>
      </w:r>
      <w:r w:rsidR="00AB4775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C133DF">
        <w:rPr>
          <w:rFonts w:ascii="Times New Roman" w:eastAsia="HeliosCond" w:hAnsi="Times New Roman" w:cs="Times New Roman"/>
          <w:sz w:val="28"/>
          <w:szCs w:val="28"/>
        </w:rPr>
        <w:t>чрезкожная</w:t>
      </w:r>
      <w:proofErr w:type="spellEnd"/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радиочастотная деструк</w:t>
      </w:r>
      <w:r w:rsidR="00AB4775">
        <w:rPr>
          <w:rFonts w:ascii="Times New Roman" w:eastAsia="HeliosCond" w:hAnsi="Times New Roman" w:cs="Times New Roman"/>
          <w:sz w:val="28"/>
          <w:szCs w:val="28"/>
        </w:rPr>
        <w:t xml:space="preserve">ция или баллон-компрессия </w:t>
      </w:r>
      <w:proofErr w:type="spellStart"/>
      <w:r w:rsidR="00AB4775">
        <w:rPr>
          <w:rFonts w:ascii="Times New Roman" w:eastAsia="HeliosCond" w:hAnsi="Times New Roman" w:cs="Times New Roman"/>
          <w:sz w:val="28"/>
          <w:szCs w:val="28"/>
        </w:rPr>
        <w:t>Гассе</w:t>
      </w:r>
      <w:r w:rsidRPr="00C133DF">
        <w:rPr>
          <w:rFonts w:ascii="Times New Roman" w:eastAsia="HeliosCond" w:hAnsi="Times New Roman" w:cs="Times New Roman"/>
          <w:sz w:val="28"/>
          <w:szCs w:val="28"/>
        </w:rPr>
        <w:t>рова</w:t>
      </w:r>
      <w:proofErr w:type="spellEnd"/>
      <w:r w:rsidRPr="00C133DF">
        <w:rPr>
          <w:rFonts w:ascii="Times New Roman" w:eastAsia="HeliosCond" w:hAnsi="Times New Roman" w:cs="Times New Roman"/>
          <w:sz w:val="28"/>
          <w:szCs w:val="28"/>
        </w:rPr>
        <w:t xml:space="preserve"> узла.</w:t>
      </w:r>
    </w:p>
    <w:sectPr w:rsidR="00903DF1" w:rsidRPr="00AB4775" w:rsidSect="00A5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1A4B"/>
    <w:rsid w:val="0014135A"/>
    <w:rsid w:val="00170D23"/>
    <w:rsid w:val="002D1A4B"/>
    <w:rsid w:val="005876AE"/>
    <w:rsid w:val="00903DF1"/>
    <w:rsid w:val="00A5673B"/>
    <w:rsid w:val="00AB4775"/>
    <w:rsid w:val="00C133DF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73CAC-DDA9-4952-9178-5349553B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BORMAN</dc:creator>
  <cp:keywords/>
  <dc:description/>
  <cp:lastModifiedBy>SchetininaIV</cp:lastModifiedBy>
  <cp:revision>5</cp:revision>
  <dcterms:created xsi:type="dcterms:W3CDTF">2022-08-26T11:07:00Z</dcterms:created>
  <dcterms:modified xsi:type="dcterms:W3CDTF">2022-10-04T14:51:00Z</dcterms:modified>
</cp:coreProperties>
</file>