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4E" w:rsidRPr="0021674E" w:rsidRDefault="0021674E" w:rsidP="00FB1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74E">
        <w:rPr>
          <w:rFonts w:ascii="Times New Roman" w:hAnsi="Times New Roman" w:cs="Times New Roman"/>
          <w:b/>
          <w:bCs/>
          <w:sz w:val="28"/>
          <w:szCs w:val="28"/>
        </w:rPr>
        <w:t>ХИРУРГИЧЕСКОЕ ЛЕЧЕНИЕ ГИГАНТСКИХ ИНТРАДУРАЛЬНЫХ</w:t>
      </w:r>
    </w:p>
    <w:p w:rsidR="0021674E" w:rsidRDefault="0021674E" w:rsidP="00FB1B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BA3">
        <w:rPr>
          <w:rFonts w:ascii="Times New Roman" w:hAnsi="Times New Roman" w:cs="Times New Roman"/>
          <w:b/>
          <w:bCs/>
          <w:sz w:val="28"/>
          <w:szCs w:val="28"/>
        </w:rPr>
        <w:t>СПИНАЛЬНЫХ ОПУХОЛЕЙ</w:t>
      </w:r>
    </w:p>
    <w:p w:rsidR="00FB1BA3" w:rsidRPr="00FB1BA3" w:rsidRDefault="00FB1BA3" w:rsidP="00FB1B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674E" w:rsidRPr="00FB1BA3" w:rsidRDefault="007C3B7F" w:rsidP="00EE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Лещинский А.В.</w:t>
      </w:r>
      <w:r w:rsidR="0021674E" w:rsidRPr="00FB1BA3">
        <w:rPr>
          <w:rFonts w:ascii="Times New Roman" w:hAnsi="Times New Roman" w:cs="Times New Roman"/>
          <w:bCs/>
          <w:i/>
          <w:sz w:val="26"/>
          <w:szCs w:val="26"/>
        </w:rPr>
        <w:t>, Краснов Д. Б.</w:t>
      </w:r>
      <w:r>
        <w:rPr>
          <w:rFonts w:ascii="Times New Roman" w:hAnsi="Times New Roman" w:cs="Times New Roman"/>
          <w:bCs/>
          <w:i/>
          <w:sz w:val="26"/>
          <w:szCs w:val="26"/>
        </w:rPr>
        <w:t>, Горенштейн А. Е.</w:t>
      </w:r>
      <w:r w:rsidR="0021674E" w:rsidRPr="00FB1BA3">
        <w:rPr>
          <w:rFonts w:ascii="Times New Roman" w:hAnsi="Times New Roman" w:cs="Times New Roman"/>
          <w:bCs/>
          <w:i/>
          <w:sz w:val="26"/>
          <w:szCs w:val="26"/>
        </w:rPr>
        <w:t>, Гокинаев С. Г.,</w:t>
      </w:r>
    </w:p>
    <w:p w:rsidR="007C3B7F" w:rsidRDefault="007C3B7F" w:rsidP="00EE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>Ларютин Н. В., Фомин Б. Б.</w:t>
      </w:r>
    </w:p>
    <w:p w:rsidR="007C3B7F" w:rsidRDefault="007C3B7F" w:rsidP="00EE1013">
      <w:pPr>
        <w:autoSpaceDE w:val="0"/>
        <w:autoSpaceDN w:val="0"/>
        <w:adjustRightInd w:val="0"/>
        <w:spacing w:after="0" w:line="240" w:lineRule="auto"/>
        <w:rPr>
          <w:rFonts w:ascii="Times New Roman" w:eastAsia="HeliosCond" w:hAnsi="Times New Roman" w:cs="Times New Roman"/>
          <w:i/>
          <w:sz w:val="26"/>
          <w:szCs w:val="26"/>
        </w:rPr>
      </w:pPr>
      <w:r>
        <w:rPr>
          <w:rFonts w:ascii="Times New Roman" w:eastAsia="HeliosCond" w:hAnsi="Times New Roman" w:cs="Times New Roman"/>
          <w:i/>
          <w:sz w:val="26"/>
          <w:szCs w:val="26"/>
        </w:rPr>
        <w:t>ГБУЗ «</w:t>
      </w:r>
      <w:r w:rsidR="0021674E" w:rsidRPr="00FB1BA3">
        <w:rPr>
          <w:rFonts w:ascii="Times New Roman" w:eastAsia="HeliosCond" w:hAnsi="Times New Roman" w:cs="Times New Roman"/>
          <w:i/>
          <w:sz w:val="26"/>
          <w:szCs w:val="26"/>
        </w:rPr>
        <w:t>Областная клиническая б</w:t>
      </w:r>
      <w:r>
        <w:rPr>
          <w:rFonts w:ascii="Times New Roman" w:eastAsia="HeliosCond" w:hAnsi="Times New Roman" w:cs="Times New Roman"/>
          <w:i/>
          <w:sz w:val="26"/>
          <w:szCs w:val="26"/>
        </w:rPr>
        <w:t>ольница Калининградской области»</w:t>
      </w:r>
      <w:r w:rsidR="0021674E" w:rsidRPr="00FB1BA3">
        <w:rPr>
          <w:rFonts w:ascii="Times New Roman" w:eastAsia="HeliosCond" w:hAnsi="Times New Roman" w:cs="Times New Roman"/>
          <w:i/>
          <w:sz w:val="26"/>
          <w:szCs w:val="26"/>
        </w:rPr>
        <w:t>,</w:t>
      </w:r>
      <w:r w:rsidR="00FB1BA3" w:rsidRPr="00FB1BA3">
        <w:rPr>
          <w:rFonts w:ascii="Times New Roman" w:eastAsia="HeliosCond" w:hAnsi="Times New Roman" w:cs="Times New Roman"/>
          <w:i/>
          <w:sz w:val="26"/>
          <w:szCs w:val="26"/>
        </w:rPr>
        <w:t xml:space="preserve"> </w:t>
      </w:r>
    </w:p>
    <w:p w:rsidR="0021674E" w:rsidRDefault="007C3B7F" w:rsidP="00EE1013">
      <w:pPr>
        <w:autoSpaceDE w:val="0"/>
        <w:autoSpaceDN w:val="0"/>
        <w:adjustRightInd w:val="0"/>
        <w:spacing w:after="0" w:line="240" w:lineRule="auto"/>
        <w:rPr>
          <w:rFonts w:ascii="Times New Roman" w:eastAsia="HeliosCond" w:hAnsi="Times New Roman" w:cs="Times New Roman"/>
          <w:i/>
          <w:sz w:val="26"/>
          <w:szCs w:val="26"/>
        </w:rPr>
      </w:pPr>
      <w:r>
        <w:rPr>
          <w:rFonts w:ascii="Times New Roman" w:eastAsia="HeliosCond" w:hAnsi="Times New Roman" w:cs="Times New Roman"/>
          <w:i/>
          <w:sz w:val="26"/>
          <w:szCs w:val="26"/>
        </w:rPr>
        <w:t>г. Калининград, МАУ «</w:t>
      </w:r>
      <w:r w:rsidR="0021674E" w:rsidRPr="00FB1BA3">
        <w:rPr>
          <w:rFonts w:ascii="Times New Roman" w:eastAsia="HeliosCond" w:hAnsi="Times New Roman" w:cs="Times New Roman"/>
          <w:i/>
          <w:sz w:val="26"/>
          <w:szCs w:val="26"/>
        </w:rPr>
        <w:t>ГКБ</w:t>
      </w:r>
      <w:r>
        <w:rPr>
          <w:rFonts w:ascii="Times New Roman" w:eastAsia="HeliosCond" w:hAnsi="Times New Roman" w:cs="Times New Roman"/>
          <w:i/>
          <w:sz w:val="26"/>
          <w:szCs w:val="26"/>
        </w:rPr>
        <w:t xml:space="preserve"> № 40», </w:t>
      </w:r>
      <w:r w:rsidR="0021674E" w:rsidRPr="00FB1BA3">
        <w:rPr>
          <w:rFonts w:ascii="Times New Roman" w:eastAsia="HeliosCond" w:hAnsi="Times New Roman" w:cs="Times New Roman"/>
          <w:i/>
          <w:sz w:val="26"/>
          <w:szCs w:val="26"/>
        </w:rPr>
        <w:t>г. Екатеринбург</w:t>
      </w:r>
    </w:p>
    <w:p w:rsidR="00EE1013" w:rsidRPr="00FB1BA3" w:rsidRDefault="00EE1013" w:rsidP="00EE1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21674E" w:rsidRPr="00FB1BA3" w:rsidRDefault="0021674E" w:rsidP="00FB1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FB1BA3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Определить вероятность хороших исходов и возможность</w:t>
      </w:r>
      <w:r w:rsidR="00FB1BA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сохранения качественного функциона</w:t>
      </w:r>
      <w:r w:rsidR="00FB1BA3">
        <w:rPr>
          <w:rFonts w:ascii="Times New Roman" w:eastAsia="HeliosCond" w:hAnsi="Times New Roman" w:cs="Times New Roman"/>
          <w:sz w:val="28"/>
          <w:szCs w:val="28"/>
        </w:rPr>
        <w:t>льного статуса у пациентов в хи</w:t>
      </w:r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рургическом лечении гигантских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интрадуральных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 спинальных опухолей.</w:t>
      </w:r>
    </w:p>
    <w:p w:rsidR="0021674E" w:rsidRPr="00FB1BA3" w:rsidRDefault="0021674E" w:rsidP="00FB1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FB1BA3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методы.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Относительно редкой группой опухолей</w:t>
      </w:r>
      <w:r w:rsidR="00FB1BA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позвоночного канала являются ги</w:t>
      </w:r>
      <w:r w:rsidR="00FB1BA3">
        <w:rPr>
          <w:rFonts w:ascii="Times New Roman" w:eastAsia="HeliosCond" w:hAnsi="Times New Roman" w:cs="Times New Roman"/>
          <w:sz w:val="28"/>
          <w:szCs w:val="28"/>
        </w:rPr>
        <w:t xml:space="preserve">гантские </w:t>
      </w:r>
      <w:proofErr w:type="spellStart"/>
      <w:r w:rsidR="00FB1BA3">
        <w:rPr>
          <w:rFonts w:ascii="Times New Roman" w:eastAsia="HeliosCond" w:hAnsi="Times New Roman" w:cs="Times New Roman"/>
          <w:sz w:val="28"/>
          <w:szCs w:val="28"/>
        </w:rPr>
        <w:t>интрадуральные</w:t>
      </w:r>
      <w:proofErr w:type="spellEnd"/>
      <w:r w:rsidR="00FB1BA3">
        <w:rPr>
          <w:rFonts w:ascii="Times New Roman" w:eastAsia="HeliosCond" w:hAnsi="Times New Roman" w:cs="Times New Roman"/>
          <w:sz w:val="28"/>
          <w:szCs w:val="28"/>
        </w:rPr>
        <w:t xml:space="preserve"> спиналь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ные опухоли. Чаще всего это нет</w:t>
      </w:r>
      <w:r w:rsidR="00FB1BA3">
        <w:rPr>
          <w:rFonts w:ascii="Times New Roman" w:eastAsia="HeliosCond" w:hAnsi="Times New Roman" w:cs="Times New Roman"/>
          <w:sz w:val="28"/>
          <w:szCs w:val="28"/>
        </w:rPr>
        <w:t>ипичные экстрамедуллярные опухо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ли спинного мозга занимающие 2 и б</w:t>
      </w:r>
      <w:r w:rsidR="00FB1BA3">
        <w:rPr>
          <w:rFonts w:ascii="Times New Roman" w:eastAsia="HeliosCond" w:hAnsi="Times New Roman" w:cs="Times New Roman"/>
          <w:sz w:val="28"/>
          <w:szCs w:val="28"/>
        </w:rPr>
        <w:t xml:space="preserve">олее сегментов (тип II – </w:t>
      </w:r>
      <w:proofErr w:type="spellStart"/>
      <w:r w:rsidR="00FB1BA3">
        <w:rPr>
          <w:rFonts w:ascii="Times New Roman" w:eastAsia="HeliosCond" w:hAnsi="Times New Roman" w:cs="Times New Roman"/>
          <w:sz w:val="28"/>
          <w:szCs w:val="28"/>
        </w:rPr>
        <w:t>интрас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пинальная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gramStart"/>
      <w:r w:rsidRPr="00FB1BA3">
        <w:rPr>
          <w:rFonts w:ascii="Times New Roman" w:eastAsia="HeliosCond" w:hAnsi="Times New Roman" w:cs="Times New Roman"/>
          <w:sz w:val="28"/>
          <w:szCs w:val="28"/>
        </w:rPr>
        <w:t>опухоль</w:t>
      </w:r>
      <w:proofErr w:type="gramEnd"/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 занимающая более 2-х позвоночных сегментов в</w:t>
      </w:r>
      <w:r w:rsidR="00FB1BA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длину по классификации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Sridhar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 K. 2001г). Они врастают, значительно</w:t>
      </w:r>
      <w:r w:rsidR="00FB1BA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компремируют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 вещество спинного мозга или практически полностью</w:t>
      </w:r>
      <w:r w:rsidR="00FB1BA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обтурируют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 позвоночный канал. В работу не включались типичные</w:t>
      </w:r>
      <w:r w:rsidR="00FB1BA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экстрамедуллярные опухоли небольшие по распространению (тип</w:t>
      </w:r>
      <w:r w:rsidR="00FB1BA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I по классификации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Sridhar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 K. 2001</w:t>
      </w:r>
      <w:r w:rsidR="006A0B39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г</w:t>
      </w:r>
      <w:r w:rsidR="006A0B39">
        <w:rPr>
          <w:rFonts w:ascii="Times New Roman" w:eastAsia="HeliosCond" w:hAnsi="Times New Roman" w:cs="Times New Roman"/>
          <w:sz w:val="28"/>
          <w:szCs w:val="28"/>
        </w:rPr>
        <w:t>од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), а также MTS злокачественных</w:t>
      </w:r>
      <w:r w:rsidR="00FB1BA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опухолей позвоночный канал. При хирургическом лечении гигантских</w:t>
      </w:r>
      <w:r w:rsidR="00FB1BA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интрадуральных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 спинальных опухолей стремились к тотальному или</w:t>
      </w:r>
      <w:r w:rsidR="00FB1BA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субтотальному удалению.</w:t>
      </w:r>
    </w:p>
    <w:p w:rsidR="0021674E" w:rsidRPr="00FB1BA3" w:rsidRDefault="0021674E" w:rsidP="00FB1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FB1BA3">
        <w:rPr>
          <w:rFonts w:ascii="Times New Roman" w:eastAsia="HeliosCond" w:hAnsi="Times New Roman" w:cs="Times New Roman"/>
          <w:sz w:val="28"/>
          <w:szCs w:val="28"/>
        </w:rPr>
        <w:t>Операции выполнялись в г</w:t>
      </w:r>
      <w:r w:rsidR="00400075">
        <w:rPr>
          <w:rFonts w:ascii="Times New Roman" w:eastAsia="HeliosCond" w:hAnsi="Times New Roman" w:cs="Times New Roman"/>
          <w:sz w:val="28"/>
          <w:szCs w:val="28"/>
        </w:rPr>
        <w:t>. </w:t>
      </w:r>
      <w:bookmarkStart w:id="0" w:name="_GoBack"/>
      <w:bookmarkEnd w:id="0"/>
      <w:r w:rsidRPr="00FB1BA3">
        <w:rPr>
          <w:rFonts w:ascii="Times New Roman" w:eastAsia="HeliosCond" w:hAnsi="Times New Roman" w:cs="Times New Roman"/>
          <w:sz w:val="28"/>
          <w:szCs w:val="28"/>
        </w:rPr>
        <w:t>Екатеринбурге на базе ГУЗ СООД и МАУ</w:t>
      </w:r>
      <w:r w:rsidR="007C3B7F">
        <w:rPr>
          <w:rFonts w:ascii="Times New Roman" w:eastAsia="HeliosCond" w:hAnsi="Times New Roman" w:cs="Times New Roman"/>
          <w:sz w:val="28"/>
          <w:szCs w:val="28"/>
        </w:rPr>
        <w:t> «ГКБ № 40»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, нейрохирургическом о</w:t>
      </w:r>
      <w:r w:rsidR="00FB1BA3">
        <w:rPr>
          <w:rFonts w:ascii="Times New Roman" w:eastAsia="HeliosCond" w:hAnsi="Times New Roman" w:cs="Times New Roman"/>
          <w:sz w:val="28"/>
          <w:szCs w:val="28"/>
        </w:rPr>
        <w:t>тделении №</w:t>
      </w:r>
      <w:r w:rsidR="007C3B7F">
        <w:rPr>
          <w:rFonts w:ascii="Times New Roman" w:eastAsia="HeliosCond" w:hAnsi="Times New Roman" w:cs="Times New Roman"/>
          <w:sz w:val="28"/>
          <w:szCs w:val="28"/>
        </w:rPr>
        <w:t> </w:t>
      </w:r>
      <w:r w:rsidR="00FB1BA3">
        <w:rPr>
          <w:rFonts w:ascii="Times New Roman" w:eastAsia="HeliosCond" w:hAnsi="Times New Roman" w:cs="Times New Roman"/>
          <w:sz w:val="28"/>
          <w:szCs w:val="28"/>
        </w:rPr>
        <w:t xml:space="preserve">1 </w:t>
      </w:r>
      <w:r w:rsidR="007C3B7F" w:rsidRPr="007C3B7F">
        <w:rPr>
          <w:rFonts w:ascii="Times New Roman" w:eastAsia="HeliosCond" w:hAnsi="Times New Roman" w:cs="Times New Roman"/>
          <w:sz w:val="28"/>
          <w:szCs w:val="28"/>
        </w:rPr>
        <w:t>ГБУЗ «Областная клиническая больница Калининградской области»</w:t>
      </w:r>
      <w:r w:rsidR="007C3B7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="00FB1BA3">
        <w:rPr>
          <w:rFonts w:ascii="Times New Roman" w:eastAsia="HeliosCond" w:hAnsi="Times New Roman" w:cs="Times New Roman"/>
          <w:sz w:val="28"/>
          <w:szCs w:val="28"/>
        </w:rPr>
        <w:t>прооперирова</w:t>
      </w:r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ны 18 пациентов с диагнозом: гигантская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интрадуральная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 спинальная</w:t>
      </w:r>
      <w:r w:rsidR="00FB1BA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опухоль. По гистологической структуре и локализации в позвоночном</w:t>
      </w:r>
      <w:r w:rsidR="00FB1BA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канале патологические процесс</w:t>
      </w:r>
      <w:r w:rsidR="00FB1BA3">
        <w:rPr>
          <w:rFonts w:ascii="Times New Roman" w:eastAsia="HeliosCond" w:hAnsi="Times New Roman" w:cs="Times New Roman"/>
          <w:sz w:val="28"/>
          <w:szCs w:val="28"/>
        </w:rPr>
        <w:t>ы распределились следующим обра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зом: у 6 пациентов выявлены эпенди</w:t>
      </w:r>
      <w:r w:rsidR="00FB1BA3">
        <w:rPr>
          <w:rFonts w:ascii="Times New Roman" w:eastAsia="HeliosCond" w:hAnsi="Times New Roman" w:cs="Times New Roman"/>
          <w:sz w:val="28"/>
          <w:szCs w:val="28"/>
        </w:rPr>
        <w:t>момы: 1 – грудного отдела позво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ночника с Th3 по Th8, 5 – поясничног</w:t>
      </w:r>
      <w:r w:rsidR="00FB1BA3">
        <w:rPr>
          <w:rFonts w:ascii="Times New Roman" w:eastAsia="HeliosCond" w:hAnsi="Times New Roman" w:cs="Times New Roman"/>
          <w:sz w:val="28"/>
          <w:szCs w:val="28"/>
        </w:rPr>
        <w:t xml:space="preserve">о отдела с L1 по L5-S3; 1 – </w:t>
      </w:r>
      <w:proofErr w:type="spellStart"/>
      <w:r w:rsidR="00FB1BA3">
        <w:rPr>
          <w:rFonts w:ascii="Times New Roman" w:eastAsia="HeliosCond" w:hAnsi="Times New Roman" w:cs="Times New Roman"/>
          <w:sz w:val="28"/>
          <w:szCs w:val="28"/>
        </w:rPr>
        <w:t>хор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дома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 поясничного отдела с L1 по L5; 4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астроцитомы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 3 –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пилоцитарные</w:t>
      </w:r>
      <w:proofErr w:type="spellEnd"/>
      <w:r w:rsidR="00FB1BA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астроцитомы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 с Th5-Th7 по Th12 – L1 и 1 анапластическая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астроцитома</w:t>
      </w:r>
      <w:proofErr w:type="spellEnd"/>
      <w:r w:rsidR="00FB1BA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грудного отдела позвоночника с С7 до ТН3; 1 – липома грудного отдела</w:t>
      </w:r>
      <w:r w:rsidR="00FB1BA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с Th4 по Th9; 3 – нейрофибромы: 2 поясничного отдела с L1 по L5, 1 –</w:t>
      </w:r>
      <w:r w:rsidR="00FB1BA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шейного отдела с С2 по С7; 2 – гемангиобластомы: 1 – грудного отдела</w:t>
      </w:r>
      <w:r w:rsidR="00FB1BA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позвоночника с Th1 по Th8, 1 – поясничного отдела с Th12 по S1 и 1</w:t>
      </w:r>
      <w:r w:rsidR="00FB1BA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менингиома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 грудного отдела с Th4 по Th7.</w:t>
      </w:r>
    </w:p>
    <w:p w:rsidR="0021674E" w:rsidRPr="00FB1BA3" w:rsidRDefault="0021674E" w:rsidP="00FB1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FB1BA3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и обсуждение.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Большинство пациентов поступило с</w:t>
      </w:r>
      <w:r w:rsidR="00FB1BA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уже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развившимся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 грубым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симптомокомплексом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: нижний парапарез10 пациентов (3-4 балла, 1 пациентка с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гемангиобластомой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 грудного</w:t>
      </w:r>
      <w:r w:rsidR="00FB1BA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отдела позвоночника до нижней параплегии),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тетрапарез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 с элементами</w:t>
      </w:r>
      <w:r w:rsidR="00FB1BA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Броун-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Секара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 – 2 (3 балла), тазовы</w:t>
      </w:r>
      <w:r w:rsidR="007C3B7F">
        <w:rPr>
          <w:rFonts w:ascii="Times New Roman" w:eastAsia="HeliosCond" w:hAnsi="Times New Roman" w:cs="Times New Roman"/>
          <w:sz w:val="28"/>
          <w:szCs w:val="28"/>
        </w:rPr>
        <w:t>е дисфункции – 18, синдром «конского хвоста» – 9. «Корешковая стадия»</w:t>
      </w:r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 развития болезни на момент</w:t>
      </w:r>
      <w:r w:rsidR="007C3B7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поступления была у 4 пациентов в ви</w:t>
      </w:r>
      <w:r w:rsidR="007C3B7F">
        <w:rPr>
          <w:rFonts w:ascii="Times New Roman" w:eastAsia="HeliosCond" w:hAnsi="Times New Roman" w:cs="Times New Roman"/>
          <w:sz w:val="28"/>
          <w:szCs w:val="28"/>
        </w:rPr>
        <w:t xml:space="preserve">де </w:t>
      </w:r>
      <w:r w:rsidR="007C3B7F">
        <w:rPr>
          <w:rFonts w:ascii="Times New Roman" w:eastAsia="HeliosCond" w:hAnsi="Times New Roman" w:cs="Times New Roman"/>
          <w:sz w:val="28"/>
          <w:szCs w:val="28"/>
        </w:rPr>
        <w:lastRenderedPageBreak/>
        <w:t>интенсивного болевого синдро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ма. Большинство пациентов были молодого возраста (от 18 до 54 лет).</w:t>
      </w:r>
    </w:p>
    <w:p w:rsidR="0021674E" w:rsidRPr="00FB1BA3" w:rsidRDefault="0021674E" w:rsidP="00FB1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FB1BA3">
        <w:rPr>
          <w:rFonts w:ascii="Times New Roman" w:eastAsia="HeliosCond" w:hAnsi="Times New Roman" w:cs="Times New Roman"/>
          <w:sz w:val="28"/>
          <w:szCs w:val="28"/>
        </w:rPr>
        <w:t>При оперативном лечении одним из важных технических нюансов,</w:t>
      </w:r>
      <w:r w:rsidR="007C3B7F">
        <w:rPr>
          <w:rFonts w:ascii="Times New Roman" w:eastAsia="HeliosCond" w:hAnsi="Times New Roman" w:cs="Times New Roman"/>
          <w:sz w:val="28"/>
          <w:szCs w:val="28"/>
        </w:rPr>
        <w:t xml:space="preserve"> я</w:t>
      </w:r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влялся вид доступа: ламинэктомия или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ламинопластика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>. Преимущ</w:t>
      </w:r>
      <w:r w:rsidR="007C3B7F">
        <w:rPr>
          <w:rFonts w:ascii="Times New Roman" w:eastAsia="HeliosCond" w:hAnsi="Times New Roman" w:cs="Times New Roman"/>
          <w:sz w:val="28"/>
          <w:szCs w:val="28"/>
        </w:rPr>
        <w:t>е</w:t>
      </w:r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ственно использовалась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ламинопластика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 для сохранения стабильности</w:t>
      </w:r>
      <w:r w:rsidR="007C3B7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позвоночного столба из-за протяженности доступа (от 3 до 8 сегментов).</w:t>
      </w:r>
    </w:p>
    <w:p w:rsidR="0021674E" w:rsidRPr="00FB1BA3" w:rsidRDefault="0021674E" w:rsidP="00FB1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FB1BA3">
        <w:rPr>
          <w:rFonts w:ascii="Times New Roman" w:eastAsia="HeliosCond" w:hAnsi="Times New Roman" w:cs="Times New Roman"/>
          <w:sz w:val="28"/>
          <w:szCs w:val="28"/>
        </w:rPr>
        <w:t>В единичных случаях потребовалось транспедикулярная фиксация.</w:t>
      </w:r>
      <w:r w:rsidR="007C3B7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В послеоперационном периоде необходима активная реабилитация</w:t>
      </w:r>
      <w:r w:rsidR="007C3B7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пациентов, с целью как можно раньше</w:t>
      </w:r>
      <w:r w:rsidR="007C3B7F">
        <w:rPr>
          <w:rFonts w:ascii="Times New Roman" w:eastAsia="HeliosCond" w:hAnsi="Times New Roman" w:cs="Times New Roman"/>
          <w:sz w:val="28"/>
          <w:szCs w:val="28"/>
        </w:rPr>
        <w:t xml:space="preserve"> вернуть утраченные функции. Не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которые пациенты для дальнейшего лечения были госпитализированы</w:t>
      </w:r>
      <w:r w:rsidR="007C3B7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на курс лучевой терапии на ложе опухоли с целью контроля заболевания.</w:t>
      </w:r>
    </w:p>
    <w:p w:rsidR="0021674E" w:rsidRPr="00FB1BA3" w:rsidRDefault="0021674E" w:rsidP="00FB1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FB1BA3">
        <w:rPr>
          <w:rFonts w:ascii="Times New Roman" w:eastAsia="HeliosCond" w:hAnsi="Times New Roman" w:cs="Times New Roman"/>
          <w:sz w:val="28"/>
          <w:szCs w:val="28"/>
        </w:rPr>
        <w:t>Осложнения в раннем послеоперационном периоде: нарастание</w:t>
      </w:r>
      <w:r w:rsidR="007C3B7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нижнего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парапареза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 – 11,1% (1 пациент с липомой грудного отдела</w:t>
      </w:r>
      <w:r w:rsidR="007C3B7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позвоночника, с 4 до 2 баллов, 1 — анапластическая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астроцитома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 с 3</w:t>
      </w:r>
      <w:r w:rsidR="007C3B7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баллов до 1); ликворея – 11,1% (1 –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эпендимома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 поясничного отдела,</w:t>
      </w:r>
      <w:r w:rsidR="007C3B7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успешное консервативное лечение 1- анапластическая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астроцитома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>),</w:t>
      </w:r>
      <w:r w:rsidR="007C3B7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нарастание тазовых дисфункций – 33,3% (6 – опухоли грудного отдела</w:t>
      </w:r>
      <w:r w:rsidR="007C3B7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позвоночника, в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катамнезе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 полностью регрессировали у 3 пациентов),</w:t>
      </w:r>
      <w:r w:rsidR="007C3B7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стойкие расстройства чувствительности – 16,6% (3 анапластическая и</w:t>
      </w:r>
      <w:r w:rsidR="007C3B7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пилоцитарные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астроцитомы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 грудного отдела). Летальность: (0%).</w:t>
      </w:r>
    </w:p>
    <w:p w:rsidR="0021674E" w:rsidRPr="00FB1BA3" w:rsidRDefault="0021674E" w:rsidP="00FB1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FB1BA3">
        <w:rPr>
          <w:rFonts w:ascii="Times New Roman" w:eastAsia="HeliosCond" w:hAnsi="Times New Roman" w:cs="Times New Roman"/>
          <w:sz w:val="28"/>
          <w:szCs w:val="28"/>
        </w:rPr>
        <w:t>По степени удаления опухол</w:t>
      </w:r>
      <w:r w:rsidR="007C3B7F">
        <w:rPr>
          <w:rFonts w:ascii="Times New Roman" w:eastAsia="HeliosCond" w:hAnsi="Times New Roman" w:cs="Times New Roman"/>
          <w:sz w:val="28"/>
          <w:szCs w:val="28"/>
        </w:rPr>
        <w:t>и тотальное удаление опухоли до</w:t>
      </w:r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стигнуто у 12 (66,6%) пациентов, оценка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интраоперационно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 и по МРТ;</w:t>
      </w:r>
    </w:p>
    <w:p w:rsidR="0021674E" w:rsidRPr="00FB1BA3" w:rsidRDefault="0021674E" w:rsidP="00FB1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FB1BA3">
        <w:rPr>
          <w:rFonts w:ascii="Times New Roman" w:eastAsia="HeliosCond" w:hAnsi="Times New Roman" w:cs="Times New Roman"/>
          <w:sz w:val="28"/>
          <w:szCs w:val="28"/>
        </w:rPr>
        <w:t>субтотальное – 6 (33,3%). Рецидив опухоли – 3 пациента (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эпиндимома</w:t>
      </w:r>
      <w:proofErr w:type="spellEnd"/>
      <w:r w:rsidR="007C3B7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поясничного отдела,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менингиома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 и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гемангиобластома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 грудного отдела),</w:t>
      </w:r>
      <w:r w:rsidR="007C3B7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прооперированы повторно с хорошим функциональным результатом.</w:t>
      </w:r>
    </w:p>
    <w:p w:rsidR="0021674E" w:rsidRPr="00FB1BA3" w:rsidRDefault="0021674E" w:rsidP="00FB1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FB1BA3">
        <w:rPr>
          <w:rFonts w:ascii="Times New Roman" w:eastAsia="HeliosCond" w:hAnsi="Times New Roman" w:cs="Times New Roman"/>
          <w:sz w:val="28"/>
          <w:szCs w:val="28"/>
        </w:rPr>
        <w:t>В катамнезе (от 1 года до 7 лет</w:t>
      </w:r>
      <w:r w:rsidR="007C3B7F">
        <w:rPr>
          <w:rFonts w:ascii="Times New Roman" w:eastAsia="HeliosCond" w:hAnsi="Times New Roman" w:cs="Times New Roman"/>
          <w:sz w:val="28"/>
          <w:szCs w:val="28"/>
        </w:rPr>
        <w:t xml:space="preserve"> после операции) достигнуто вос</w:t>
      </w:r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становление трудоспособности по шкале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Карновского</w:t>
      </w:r>
      <w:proofErr w:type="spellEnd"/>
      <w:r w:rsidRPr="00FB1BA3">
        <w:rPr>
          <w:rFonts w:ascii="Times New Roman" w:eastAsia="HeliosCond" w:hAnsi="Times New Roman" w:cs="Times New Roman"/>
          <w:sz w:val="28"/>
          <w:szCs w:val="28"/>
        </w:rPr>
        <w:t>: (15 пациентов)</w:t>
      </w:r>
      <w:r w:rsidR="007C3B7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3 – 100%, 10 – 90%, 2 пациента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ката</w:t>
      </w:r>
      <w:r w:rsidR="007C3B7F">
        <w:rPr>
          <w:rFonts w:ascii="Times New Roman" w:eastAsia="HeliosCond" w:hAnsi="Times New Roman" w:cs="Times New Roman"/>
          <w:sz w:val="28"/>
          <w:szCs w:val="28"/>
        </w:rPr>
        <w:t>мнестически</w:t>
      </w:r>
      <w:proofErr w:type="spellEnd"/>
      <w:r w:rsidR="007C3B7F">
        <w:rPr>
          <w:rFonts w:ascii="Times New Roman" w:eastAsia="HeliosCond" w:hAnsi="Times New Roman" w:cs="Times New Roman"/>
          <w:sz w:val="28"/>
          <w:szCs w:val="28"/>
        </w:rPr>
        <w:t xml:space="preserve"> не прослежены (вклю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чая пациента с липомой грудного о</w:t>
      </w:r>
      <w:r w:rsidR="007C3B7F">
        <w:rPr>
          <w:rFonts w:ascii="Times New Roman" w:eastAsia="HeliosCond" w:hAnsi="Times New Roman" w:cs="Times New Roman"/>
          <w:sz w:val="28"/>
          <w:szCs w:val="28"/>
        </w:rPr>
        <w:t>тдела с ухудшением в послеопера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ционном периоде).</w:t>
      </w:r>
    </w:p>
    <w:p w:rsidR="0021674E" w:rsidRPr="00FB1BA3" w:rsidRDefault="0021674E" w:rsidP="00FB1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iosCond" w:hAnsi="Times New Roman" w:cs="Times New Roman"/>
          <w:sz w:val="28"/>
          <w:szCs w:val="28"/>
        </w:rPr>
      </w:pPr>
      <w:r w:rsidRPr="00FB1BA3">
        <w:rPr>
          <w:rFonts w:ascii="Times New Roman" w:eastAsia="HeliosCond" w:hAnsi="Times New Roman" w:cs="Times New Roman"/>
          <w:b/>
          <w:bCs/>
          <w:sz w:val="28"/>
          <w:szCs w:val="28"/>
        </w:rPr>
        <w:t xml:space="preserve">Выводы.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Несмотря на протяженность поражения спинного мозга</w:t>
      </w:r>
      <w:r w:rsidR="007C3B7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от 3 до 8 сегментов, необходимо стремиться к тотальному удалению</w:t>
      </w:r>
      <w:r w:rsidR="007C3B7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опухоли с сохранением стабильности позвоночного столба.</w:t>
      </w:r>
    </w:p>
    <w:p w:rsidR="00FD1515" w:rsidRPr="00FB1BA3" w:rsidRDefault="0021674E" w:rsidP="007C3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A3">
        <w:rPr>
          <w:rFonts w:ascii="Times New Roman" w:eastAsia="HeliosCond" w:hAnsi="Times New Roman" w:cs="Times New Roman"/>
          <w:sz w:val="28"/>
          <w:szCs w:val="28"/>
        </w:rPr>
        <w:t xml:space="preserve">Использование </w:t>
      </w:r>
      <w:proofErr w:type="spellStart"/>
      <w:r w:rsidRPr="00FB1BA3">
        <w:rPr>
          <w:rFonts w:ascii="Times New Roman" w:eastAsia="HeliosCond" w:hAnsi="Times New Roman" w:cs="Times New Roman"/>
          <w:sz w:val="28"/>
          <w:szCs w:val="28"/>
        </w:rPr>
        <w:t>интраоперац</w:t>
      </w:r>
      <w:r w:rsidR="007C3B7F">
        <w:rPr>
          <w:rFonts w:ascii="Times New Roman" w:eastAsia="HeliosCond" w:hAnsi="Times New Roman" w:cs="Times New Roman"/>
          <w:sz w:val="28"/>
          <w:szCs w:val="28"/>
        </w:rPr>
        <w:t>ионного</w:t>
      </w:r>
      <w:proofErr w:type="spellEnd"/>
      <w:r w:rsidR="007C3B7F">
        <w:rPr>
          <w:rFonts w:ascii="Times New Roman" w:eastAsia="HeliosCond" w:hAnsi="Times New Roman" w:cs="Times New Roman"/>
          <w:sz w:val="28"/>
          <w:szCs w:val="28"/>
        </w:rPr>
        <w:t xml:space="preserve"> </w:t>
      </w:r>
      <w:proofErr w:type="spellStart"/>
      <w:r w:rsidR="007C3B7F">
        <w:rPr>
          <w:rFonts w:ascii="Times New Roman" w:eastAsia="HeliosCond" w:hAnsi="Times New Roman" w:cs="Times New Roman"/>
          <w:sz w:val="28"/>
          <w:szCs w:val="28"/>
        </w:rPr>
        <w:t>нейромониторинга</w:t>
      </w:r>
      <w:proofErr w:type="spellEnd"/>
      <w:r w:rsidR="007C3B7F">
        <w:rPr>
          <w:rFonts w:ascii="Times New Roman" w:eastAsia="HeliosCond" w:hAnsi="Times New Roman" w:cs="Times New Roman"/>
          <w:sz w:val="28"/>
          <w:szCs w:val="28"/>
        </w:rPr>
        <w:t>, микро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хирургического инструментария, о</w:t>
      </w:r>
      <w:r w:rsidR="007C3B7F">
        <w:rPr>
          <w:rFonts w:ascii="Times New Roman" w:eastAsia="HeliosCond" w:hAnsi="Times New Roman" w:cs="Times New Roman"/>
          <w:sz w:val="28"/>
          <w:szCs w:val="28"/>
        </w:rPr>
        <w:t>перационной микроскопии позволя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ет минимизировать риска усугублен</w:t>
      </w:r>
      <w:r w:rsidR="007C3B7F">
        <w:rPr>
          <w:rFonts w:ascii="Times New Roman" w:eastAsia="HeliosCond" w:hAnsi="Times New Roman" w:cs="Times New Roman"/>
          <w:sz w:val="28"/>
          <w:szCs w:val="28"/>
        </w:rPr>
        <w:t>ия или приобретения неврологиче</w:t>
      </w:r>
      <w:r w:rsidRPr="00FB1BA3">
        <w:rPr>
          <w:rFonts w:ascii="Times New Roman" w:eastAsia="HeliosCond" w:hAnsi="Times New Roman" w:cs="Times New Roman"/>
          <w:sz w:val="28"/>
          <w:szCs w:val="28"/>
        </w:rPr>
        <w:t>ского дефицит</w:t>
      </w:r>
      <w:r w:rsidR="007C3B7F">
        <w:rPr>
          <w:rFonts w:ascii="Times New Roman" w:eastAsia="HeliosCond" w:hAnsi="Times New Roman" w:cs="Times New Roman"/>
          <w:sz w:val="28"/>
          <w:szCs w:val="28"/>
        </w:rPr>
        <w:t>а.</w:t>
      </w:r>
    </w:p>
    <w:sectPr w:rsidR="00FD1515" w:rsidRPr="00FB1BA3" w:rsidSect="00D2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674E"/>
    <w:rsid w:val="0021674E"/>
    <w:rsid w:val="00400075"/>
    <w:rsid w:val="006A0B39"/>
    <w:rsid w:val="007C3B7F"/>
    <w:rsid w:val="00D21152"/>
    <w:rsid w:val="00EE1013"/>
    <w:rsid w:val="00FB1BA3"/>
    <w:rsid w:val="00FD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54FB0-6554-4FF2-843D-7A09575C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BORMAN</dc:creator>
  <cp:keywords/>
  <dc:description/>
  <cp:lastModifiedBy>SchetininaIV</cp:lastModifiedBy>
  <cp:revision>6</cp:revision>
  <dcterms:created xsi:type="dcterms:W3CDTF">2022-08-26T11:11:00Z</dcterms:created>
  <dcterms:modified xsi:type="dcterms:W3CDTF">2022-10-04T13:48:00Z</dcterms:modified>
</cp:coreProperties>
</file>